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8FB6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ПОВІДОМЛЕННЯ</w:t>
      </w:r>
    </w:p>
    <w:p w14:paraId="6832960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проведення (скликання) загальних зборів акціонерного товариства</w:t>
      </w:r>
    </w:p>
    <w:p w14:paraId="77B2A06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28"/>
        <w:gridCol w:w="6637"/>
      </w:tblGrid>
      <w:tr w:rsidR="00000000" w14:paraId="31A593CD"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AC04DB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6637" w:type="dxa"/>
            <w:tcBorders>
              <w:top w:val="single" w:sz="6" w:space="0" w:color="auto"/>
              <w:left w:val="single" w:sz="6" w:space="0" w:color="auto"/>
              <w:bottom w:val="single" w:sz="6" w:space="0" w:color="auto"/>
            </w:tcBorders>
            <w:vAlign w:val="center"/>
          </w:tcPr>
          <w:p w14:paraId="5E710A5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r>
      <w:tr w:rsidR="00000000" w14:paraId="2F4688E8"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823F92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Повне найменування</w:t>
            </w:r>
          </w:p>
        </w:tc>
        <w:tc>
          <w:tcPr>
            <w:tcW w:w="6637" w:type="dxa"/>
            <w:tcBorders>
              <w:top w:val="single" w:sz="6" w:space="0" w:color="auto"/>
              <w:left w:val="single" w:sz="6" w:space="0" w:color="auto"/>
              <w:bottom w:val="single" w:sz="6" w:space="0" w:color="auto"/>
            </w:tcBorders>
            <w:vAlign w:val="center"/>
          </w:tcPr>
          <w:p w14:paraId="571A83F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АКЦІОНЕРНЕ ТОВАРИСТВО "ОПЕРАТОР ГАЗОРОЗПОДІЛЬНОЇ СИСТЕМИ "ЛЬВІВГАЗ"</w:t>
            </w:r>
          </w:p>
        </w:tc>
      </w:tr>
      <w:tr w:rsidR="00000000" w14:paraId="7553FE40"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FFEF9C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Ідентифікаційний код юридичної особи</w:t>
            </w:r>
          </w:p>
        </w:tc>
        <w:tc>
          <w:tcPr>
            <w:tcW w:w="6637" w:type="dxa"/>
            <w:tcBorders>
              <w:top w:val="single" w:sz="6" w:space="0" w:color="auto"/>
              <w:left w:val="single" w:sz="6" w:space="0" w:color="auto"/>
              <w:bottom w:val="single" w:sz="6" w:space="0" w:color="auto"/>
            </w:tcBorders>
            <w:vAlign w:val="center"/>
          </w:tcPr>
          <w:p w14:paraId="33C05A4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03349039</w:t>
            </w:r>
          </w:p>
        </w:tc>
      </w:tr>
      <w:tr w:rsidR="00000000" w14:paraId="431F2403"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24DE0C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Місцезнаходження</w:t>
            </w:r>
          </w:p>
        </w:tc>
        <w:tc>
          <w:tcPr>
            <w:tcW w:w="6637" w:type="dxa"/>
            <w:tcBorders>
              <w:top w:val="single" w:sz="6" w:space="0" w:color="auto"/>
              <w:left w:val="single" w:sz="6" w:space="0" w:color="auto"/>
              <w:bottom w:val="single" w:sz="6" w:space="0" w:color="auto"/>
            </w:tcBorders>
            <w:vAlign w:val="center"/>
          </w:tcPr>
          <w:p w14:paraId="70B3F73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Україна, 79039, Львівська область, місто Львів, вулиця Золота, будинок 42</w:t>
            </w:r>
          </w:p>
        </w:tc>
      </w:tr>
      <w:tr w:rsidR="00000000" w14:paraId="6BAC546D"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CB561D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і час початку проведення загальних зборів</w:t>
            </w:r>
          </w:p>
        </w:tc>
        <w:tc>
          <w:tcPr>
            <w:tcW w:w="6637" w:type="dxa"/>
            <w:tcBorders>
              <w:top w:val="single" w:sz="6" w:space="0" w:color="auto"/>
              <w:left w:val="single" w:sz="6" w:space="0" w:color="auto"/>
              <w:bottom w:val="single" w:sz="6" w:space="0" w:color="auto"/>
            </w:tcBorders>
            <w:vAlign w:val="center"/>
          </w:tcPr>
          <w:p w14:paraId="7576DA9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04.11.2024 11:00</w:t>
            </w:r>
          </w:p>
        </w:tc>
      </w:tr>
      <w:tr w:rsidR="00000000" w14:paraId="474DE5FB"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4D2FD2C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Спосіб проведення загальних зборів</w:t>
            </w:r>
          </w:p>
        </w:tc>
        <w:tc>
          <w:tcPr>
            <w:tcW w:w="6637" w:type="dxa"/>
            <w:tcBorders>
              <w:top w:val="single" w:sz="6" w:space="0" w:color="auto"/>
              <w:left w:val="single" w:sz="6" w:space="0" w:color="auto"/>
              <w:bottom w:val="single" w:sz="6" w:space="0" w:color="auto"/>
            </w:tcBorders>
            <w:vAlign w:val="center"/>
          </w:tcPr>
          <w:p w14:paraId="3EB52B6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опитування (дистанційно)</w:t>
            </w:r>
          </w:p>
        </w:tc>
      </w:tr>
      <w:tr w:rsidR="00000000" w14:paraId="7E0569F3"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27C9B7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Час початку і закінчення реєстрації акціонерів для участі у загальних зборах</w:t>
            </w:r>
          </w:p>
        </w:tc>
        <w:tc>
          <w:tcPr>
            <w:tcW w:w="6637" w:type="dxa"/>
            <w:tcBorders>
              <w:top w:val="single" w:sz="6" w:space="0" w:color="auto"/>
              <w:left w:val="single" w:sz="6" w:space="0" w:color="auto"/>
              <w:bottom w:val="single" w:sz="6" w:space="0" w:color="auto"/>
            </w:tcBorders>
            <w:vAlign w:val="center"/>
          </w:tcPr>
          <w:p w14:paraId="5163D59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r>
      <w:tr w:rsidR="00000000" w14:paraId="3D200247"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0BE91A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складення переліку акціонерів, які мають право на участь у загальних зборах</w:t>
            </w:r>
          </w:p>
        </w:tc>
        <w:tc>
          <w:tcPr>
            <w:tcW w:w="6637" w:type="dxa"/>
            <w:tcBorders>
              <w:top w:val="single" w:sz="6" w:space="0" w:color="auto"/>
              <w:left w:val="single" w:sz="6" w:space="0" w:color="auto"/>
              <w:bottom w:val="single" w:sz="6" w:space="0" w:color="auto"/>
            </w:tcBorders>
            <w:vAlign w:val="center"/>
          </w:tcPr>
          <w:p w14:paraId="19E68F9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11.11.2024</w:t>
            </w:r>
          </w:p>
        </w:tc>
      </w:tr>
      <w:tr w:rsidR="00000000" w14:paraId="59CA9585"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00436E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Проект порядку денного / порядок денний</w:t>
            </w:r>
          </w:p>
        </w:tc>
        <w:tc>
          <w:tcPr>
            <w:tcW w:w="6637" w:type="dxa"/>
            <w:tcBorders>
              <w:top w:val="single" w:sz="6" w:space="0" w:color="auto"/>
              <w:left w:val="single" w:sz="6" w:space="0" w:color="auto"/>
              <w:bottom w:val="single" w:sz="6" w:space="0" w:color="auto"/>
            </w:tcBorders>
            <w:vAlign w:val="center"/>
          </w:tcPr>
          <w:p w14:paraId="0CBA54D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Перелік питань проекту порядку денного:</w:t>
            </w:r>
          </w:p>
          <w:p w14:paraId="6354B22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 Про розгляд звіту Правління Товариства за наслідками зменшення власного капіталу Товариства та затвердження заходів за результатами розгляду зазначеного звіту.</w:t>
            </w:r>
          </w:p>
          <w:p w14:paraId="4343BFB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2. Про заходи, які мають бути вжиті для покращення фінансового стану Товариства.</w:t>
            </w:r>
          </w:p>
          <w:p w14:paraId="191F7E4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3. Затвердження Положення про винагороду членів Наглядової ради Товариства.</w:t>
            </w:r>
          </w:p>
          <w:p w14:paraId="683BD0E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4. Затвердження Положення про винагороду членів Правління Товариства.</w:t>
            </w:r>
          </w:p>
        </w:tc>
      </w:tr>
      <w:tr w:rsidR="00000000" w14:paraId="64D00C07"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4BD6FA7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Проекти рішень (крім кумулятивного голосування) з кожного питання, включеного до проекту порядку денного</w:t>
            </w:r>
          </w:p>
        </w:tc>
        <w:tc>
          <w:tcPr>
            <w:tcW w:w="6637" w:type="dxa"/>
            <w:tcBorders>
              <w:top w:val="single" w:sz="6" w:space="0" w:color="auto"/>
              <w:left w:val="single" w:sz="6" w:space="0" w:color="auto"/>
              <w:bottom w:val="single" w:sz="6" w:space="0" w:color="auto"/>
            </w:tcBorders>
            <w:vAlign w:val="center"/>
          </w:tcPr>
          <w:p w14:paraId="1153775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Проекти рішень по питанням проекту порядку денного:</w:t>
            </w:r>
          </w:p>
          <w:p w14:paraId="4A15B20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 питанню № 1: </w:t>
            </w:r>
          </w:p>
          <w:p w14:paraId="3D5B683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Узяти то відома звіт Правління Товариства за наслідками зменшення власного капіталу Товариства та заходи, що зазначені у цьому звіті (додаток 1).</w:t>
            </w:r>
          </w:p>
          <w:p w14:paraId="76BA169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 питанню № 2: </w:t>
            </w:r>
          </w:p>
          <w:p w14:paraId="5C018E6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Затвердити заходи, які мають бути вжиті для покращення фінансового стану Товариства (додаток 2).</w:t>
            </w:r>
          </w:p>
          <w:p w14:paraId="42C1B0E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 питанню № 3: </w:t>
            </w:r>
          </w:p>
          <w:p w14:paraId="1BAC8EC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Затвердити Положення про винагороду членів Наглядової ради Товариства (додаток 3).</w:t>
            </w:r>
          </w:p>
          <w:p w14:paraId="45EEEBC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 питанню № 4: </w:t>
            </w:r>
          </w:p>
          <w:p w14:paraId="79D7BF3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Затвердити Положення про винагороду членів Правління Товариства (додаток 4).</w:t>
            </w:r>
          </w:p>
        </w:tc>
      </w:tr>
      <w:tr w:rsidR="00000000" w14:paraId="5F42448D"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C6A616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URL-адреса вебсайту, на якій розміщено інформацію, зазначену в частині третій статті 47 Закону України "Про акціонерні товариства""</w:t>
            </w:r>
          </w:p>
        </w:tc>
        <w:tc>
          <w:tcPr>
            <w:tcW w:w="6637" w:type="dxa"/>
            <w:tcBorders>
              <w:top w:val="single" w:sz="6" w:space="0" w:color="auto"/>
              <w:left w:val="single" w:sz="6" w:space="0" w:color="auto"/>
              <w:bottom w:val="single" w:sz="6" w:space="0" w:color="auto"/>
            </w:tcBorders>
            <w:vAlign w:val="center"/>
          </w:tcPr>
          <w:p w14:paraId="382785B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https://lv.naftogaz.com/%d1%96%d0%bd%d1%84%d0%be%d1%80%d0%bc%d0%b0%d1%86%d1%96%d1%8f-%d0%b4%d0%bb%d1%8f-%d0%b0%d0%ba%d1%86%d1%96%d0%be%d0%bd%d0%b5%d1%80%d1%96%d0%b2-%d1%82%d0%b0-%d1%81%d1%82%d0%b5%d0%b9%d0%ba%d1%85%d0%be/</w:t>
            </w:r>
          </w:p>
        </w:tc>
      </w:tr>
      <w:tr w:rsidR="00000000" w14:paraId="3E757B93"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0C4CCB7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Порядок ознайомлення акціонерів з матеріалами, з якими вони можуть ознайомитися під час підготовки до загальних зборів, та посадова особа акціонерного товариства, відповідальна за порядок ознайомлення акціонерів з документами</w:t>
            </w:r>
          </w:p>
        </w:tc>
        <w:tc>
          <w:tcPr>
            <w:tcW w:w="6637" w:type="dxa"/>
            <w:tcBorders>
              <w:top w:val="single" w:sz="6" w:space="0" w:color="auto"/>
              <w:left w:val="single" w:sz="6" w:space="0" w:color="auto"/>
              <w:bottom w:val="single" w:sz="6" w:space="0" w:color="auto"/>
            </w:tcBorders>
            <w:vAlign w:val="center"/>
          </w:tcPr>
          <w:p w14:paraId="7926397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Акціонери мають право ознайомитись з матеріалами до Загальних зборів та документами, необхідними для прийняття рішень з питань, включених до проекту порядку денного та порядку денного Загальних зборів, а також з проектами рішень з питань, що виносяться на голосування. </w:t>
            </w:r>
          </w:p>
          <w:p w14:paraId="4A7794F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Запит на ознайомлення з документами, необхідними акціонерам для прийняття рішень з питань, включених до проекту порядку денного та порядку денного, має бути підписано кваліфікованим електронним підписом такого акціонера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зазначену в повідомленні про проведення Загальних зборів. У разі отримання належним чином оформленого запиту від акціонера, особа, відповідальна за ознайомлення акціонерів з відповідними документами, надсилає такі документи на адресу електронної пошти акціонера, з якої надіслано запит, із засвідченням документів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w:t>
            </w:r>
          </w:p>
          <w:p w14:paraId="689BE3C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Особою, відповідальною за порядок ознайомлення акціонерів з документами, є Бельбас Іван Михайлович  телефон: +38(032) 259-11-01.</w:t>
            </w:r>
          </w:p>
          <w:p w14:paraId="3F7D839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Адреса електронної пошти, на яку акціонер може надіслати запит щодо </w:t>
            </w:r>
            <w:r>
              <w:rPr>
                <w:rFonts w:ascii="Times New Roman" w:hAnsi="Times New Roman" w:cs="Times New Roman"/>
                <w:kern w:val="0"/>
                <w:sz w:val="20"/>
                <w:szCs w:val="20"/>
              </w:rPr>
              <w:lastRenderedPageBreak/>
              <w:t>ознайомлення з матеріалами під час підготовки до Загальних зборів, та/або запитання щодо порядку денного Загальних зборів, та/або пропозиції до проекту порядку денного Загальних зборів та проектів рішень: office@lv.naftogaz.com.</w:t>
            </w:r>
          </w:p>
          <w:p w14:paraId="4D2ED45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Товариство до дати проведення Загальних зборів надає відповіді на письмові запитання акціонерів щодо питань, включених до проекту порядку денного Загальних зборів та порядку денного загальних зборів. Відповідні запити направляються акціонерами на адресу електронної пошти, зазначену в цьому повідомленні, із зазначенням реквізитів акціонера, який звертається, кількості, типу та/або класу належних йому акцій, змісту запитання та засвідченням такого запиту кваліфікованим електронним підписом (іншим засобом, що забезпечує ідентифікацію та підтвердження направлення документу особою). Реквізити акціонера (представника акціонера) – ім'я фізичної або найменування юридичної особи, ідентифікаційний код юридичної особи, назва, серія (за наявності), номер, дата видачі документа, що посвідчує фізичну особу та реєстраційний номер облікової картки платника податків (за наявності).</w:t>
            </w:r>
          </w:p>
          <w:p w14:paraId="18959B5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фондового ринку.</w:t>
            </w:r>
          </w:p>
        </w:tc>
      </w:tr>
      <w:tr w:rsidR="00000000" w14:paraId="521DDFCD"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C1292D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Інформація про права, надані акціонерам відповідно до вимог статей 27 і 28 Закону України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6637" w:type="dxa"/>
            <w:tcBorders>
              <w:top w:val="single" w:sz="6" w:space="0" w:color="auto"/>
              <w:left w:val="single" w:sz="6" w:space="0" w:color="auto"/>
              <w:bottom w:val="single" w:sz="6" w:space="0" w:color="auto"/>
            </w:tcBorders>
            <w:vAlign w:val="center"/>
          </w:tcPr>
          <w:p w14:paraId="2F9907A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Кожною простою акцією акціонерного товариства її власнику - акціонеру надається однакова сукупність прав, включаючи права на: 1) участь в управлінні товариством; 2) отримання дивідендів; 3) отримання у разі ліквідації товариства частини його майна або вартості частини майна товариства; 4) отримання інформації про господарську діяльність товариства шляхом: участі та голосування на загальних зборах акціонерів. </w:t>
            </w:r>
          </w:p>
          <w:p w14:paraId="1CC80DB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Одна проста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14:paraId="41C373E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Акціонери - власники простих акцій товариства можуть мати й інші права, передбачені законодавством та статутом акціонерного товариства.</w:t>
            </w:r>
          </w:p>
          <w:p w14:paraId="0242753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Строк, протягом якого такі права можуть використовуватися: протягом усього терміну перебування в статусі акціонера товариства. Інші вимоги до строку використання прав зазначених вище можуть бути встановлено Законом або рішенням загальних зборів акціонерів.</w:t>
            </w:r>
          </w:p>
          <w:p w14:paraId="4A982C2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 метою реалізації зазначених прав, від дати надсилання повідомлення про проведення загальних зборів до дати і часу завершення голосування у загальних зборах акціонерне товариство надає акціонерам можливість ознайомитися з документами, необхідними для прийняття рішень з питань, включених до проекту порядку денного та порядку денного.</w:t>
            </w:r>
          </w:p>
          <w:p w14:paraId="4AE1C3B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Також акціонери мають право на: ознайомлення з протоколами про підсумки голосування, протоколом загальних зборів – після їх оприлюднення на вебсайті Товариства та протягом строку, встановленого чинним законодавством України; внесення пропозицій до проекту порядку денного не пізніше ніж за 20 днів до дати проведення загальних зборів, внесення пропозицій стосовно кандидатур до складу органів Товариства, в тому числі стосовно своєї кандидатури - не пізніше ніж за 7 днів до дати проведення загальних зборів.</w:t>
            </w:r>
          </w:p>
        </w:tc>
      </w:tr>
      <w:tr w:rsidR="00000000" w14:paraId="2A5AAA7C"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5F1FAEA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Порядок надання акціонерами пропозицій до проекту порядку денного загальних зборів</w:t>
            </w:r>
          </w:p>
        </w:tc>
        <w:tc>
          <w:tcPr>
            <w:tcW w:w="6637" w:type="dxa"/>
            <w:tcBorders>
              <w:top w:val="single" w:sz="6" w:space="0" w:color="auto"/>
              <w:left w:val="single" w:sz="6" w:space="0" w:color="auto"/>
              <w:bottom w:val="single" w:sz="6" w:space="0" w:color="auto"/>
            </w:tcBorders>
            <w:vAlign w:val="center"/>
          </w:tcPr>
          <w:p w14:paraId="5D7B840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w:t>
            </w:r>
          </w:p>
          <w:p w14:paraId="6684A7B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Пропозиції вносяться не пізніше ніж за 20 днів до дати проведення загальних зборів, а щодо кандидатів до складу органів Товариства - не пізніше ніж за 7 днів до дати проведення загальних зборів в об’ємі та у відповідності до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06.03.2023 № 236 (надалі – Порядок).</w:t>
            </w:r>
          </w:p>
          <w:p w14:paraId="0A238AB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до питання та/або проекту рішення. Пропозиція до порядку денного Загальних зборів може бути </w:t>
            </w:r>
            <w:r>
              <w:rPr>
                <w:rFonts w:ascii="Times New Roman" w:hAnsi="Times New Roman" w:cs="Times New Roman"/>
                <w:kern w:val="0"/>
                <w:sz w:val="20"/>
                <w:szCs w:val="20"/>
              </w:rPr>
              <w:lastRenderedPageBreak/>
              <w:t>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зазначену в цьому повідомленні.</w:t>
            </w:r>
          </w:p>
          <w:p w14:paraId="108CBFB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Пропозиції акціонерів (акціонера), які сукупно є власниками 5 або більше відсотків акцій, а також пропозиції наглядової ради підлягають обов'язковому включенню до проекту порядку денного загальних зборів.</w:t>
            </w:r>
          </w:p>
          <w:p w14:paraId="02A4467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Пропозиції акціонерів до проекту порядку денного загальних зборів вносяться лише шляхом внесення нових проектів рішень з питань, включених до проекту порядку денного, та нових питань разом з проектами рішень з цих питань, а також шляхом включення запропонованих акціонерами кандидатів до складу органів акціонерного товариства до списку кандидатів, що виносяться на голосування на загальних зборах. Товариство не має права вносити зміни до запропонованих акціонерами питань, проектів рішень або інформації про кандидатів до складу органів акціонерного товариства.</w:t>
            </w:r>
          </w:p>
          <w:p w14:paraId="732F514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Рішення про відмову у включенні до проекту порядку денного загальних зборів пропозиції акціонерів (акціонера), які (який) сукупно є власниками (власником) 5 і більше відсотків голосуючих акцій, пропозиції наглядової ради може бути прийнято виключно у разі: 1) недотримання строку, встановленого частиною другою статті 49 Закону України «Про акціонерні товариства»; 2) неповноти даних, передбачених частинами третьою, п’ятою і восьмою статті 49 Закону України «Про акціонерні товариства».</w:t>
            </w:r>
          </w:p>
          <w:p w14:paraId="794D6CF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разі внесення змін до проекту порядку денного загальних зборів акціонерів особа, яка скликає загальні збори, не пізніше ніж за 10 днів до дати їх проведення повідомляє акціонерів про відповідні зміни у той самий спосіб та тих самих осіб, яким було надіслано повідомлення про проведення загальних зборів.</w:t>
            </w:r>
          </w:p>
        </w:tc>
      </w:tr>
      <w:tr w:rsidR="00000000" w14:paraId="2FC6E50C"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734B0DA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Порядок участі та голосування на загальних зборах за довіреністю</w:t>
            </w:r>
          </w:p>
        </w:tc>
        <w:tc>
          <w:tcPr>
            <w:tcW w:w="6637" w:type="dxa"/>
            <w:tcBorders>
              <w:top w:val="single" w:sz="6" w:space="0" w:color="auto"/>
              <w:left w:val="single" w:sz="6" w:space="0" w:color="auto"/>
              <w:bottom w:val="single" w:sz="6" w:space="0" w:color="auto"/>
            </w:tcBorders>
            <w:vAlign w:val="center"/>
          </w:tcPr>
          <w:p w14:paraId="215842E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Реєстрація акціонерів (їх представників) проводиться шляхом співставлення даних переліку акціонерів, які мають право на участь у загальних зборах, складеного у порядку встановленому законодавством про депозитарну систему, з даними переліку акціонерів, які подали бюлетені для участі у дистанційних загальних зборах, а також перевірки повноважень представників акціонерів, які підписали бюлетені. Всі акціонери, що вказані у переліку акціонерів, які мають право на участь у загальних зборах, та які подали хоча б один бюлетень для голосування у загальних зборах, підписаний уповноваженою на те особою, вважаються такими, що прийняли участь у загальних зборах та є зареєстрованими для участі у зборах.</w:t>
            </w:r>
          </w:p>
          <w:p w14:paraId="520C1D7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підставі укладеного відповідного договору) на дату складення переліку акціонерів, які мають право на участь у Загальних зборах тощо, у строки, що зазначені вище та передбачені Порядком і Законом України «Про акціонерні товариства», протягом яких такі права можуть використовуватися.</w:t>
            </w:r>
          </w:p>
          <w:p w14:paraId="35D448B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Голосування на загальних зборах з питань порядку денного проводиться виключно з використанням бюлетенів для голосування – бюлетеня для голосування (щодо питань порядку денного, крім обрання органів товариства).</w:t>
            </w:r>
          </w:p>
          <w:p w14:paraId="2BF7259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436A152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випадку подання бюлетеня (бюлетенів) для голосування, підписаного представником акціонера, до бюлетеня (бюлетенів)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w:t>
            </w:r>
          </w:p>
          <w:p w14:paraId="57B975D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Представником акціонера - фізичної чи юридичної особи на загальних </w:t>
            </w:r>
            <w:r>
              <w:rPr>
                <w:rFonts w:ascii="Times New Roman" w:hAnsi="Times New Roman" w:cs="Times New Roman"/>
                <w:kern w:val="0"/>
                <w:sz w:val="20"/>
                <w:szCs w:val="20"/>
              </w:rPr>
              <w:lastRenderedPageBreak/>
              <w:t xml:space="preserve">зборах може бути інша фізична особа або уповноважена особа юридичної особи, а представником акціонера - держави чи територіальної громади - уповноважена особа органу, що здійснює управління державним чи комунальним майном. </w:t>
            </w:r>
          </w:p>
          <w:p w14:paraId="00E9C32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призначити свого представника постійно або на певний строк.</w:t>
            </w:r>
          </w:p>
          <w:p w14:paraId="22F1263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w:t>
            </w:r>
          </w:p>
          <w:p w14:paraId="1853941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w:t>
            </w:r>
          </w:p>
          <w:p w14:paraId="5964738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видати довіреність на право участі та голосування на загальних зборах декільком своїм представникам.</w:t>
            </w:r>
          </w:p>
          <w:p w14:paraId="7DB1FE3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разі подання бюлетенів декількома представниками акціонера, здійснюється ідентифікація та реєстрація того представника, довіреність якому була видана пізніше.</w:t>
            </w:r>
          </w:p>
          <w:p w14:paraId="307179A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p>
          <w:p w14:paraId="0C553CE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Видача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14:paraId="3D0E7B6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14:paraId="6FA1FB0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34294EF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Особа, яку акціонер має намір уповноважити на участь у загальних зборах, у випадку наявності в неї конфлікту інтересів, повинна врегулювати конфлікт інтересів у порядку, встановленому чинним законодавством України, або відмовитись від представництва.</w:t>
            </w:r>
          </w:p>
        </w:tc>
      </w:tr>
      <w:tr w:rsidR="00000000" w14:paraId="3E48F907"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7C4DC13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Дата і час початку та завершення голосування за допомогою авторизованої електронної системи</w:t>
            </w:r>
          </w:p>
        </w:tc>
        <w:tc>
          <w:tcPr>
            <w:tcW w:w="6637" w:type="dxa"/>
            <w:tcBorders>
              <w:top w:val="single" w:sz="6" w:space="0" w:color="auto"/>
              <w:left w:val="single" w:sz="6" w:space="0" w:color="auto"/>
              <w:bottom w:val="single" w:sz="6" w:space="0" w:color="auto"/>
            </w:tcBorders>
            <w:vAlign w:val="center"/>
          </w:tcPr>
          <w:p w14:paraId="4DFB571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r>
      <w:tr w:rsidR="00000000" w14:paraId="27A66657"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0865C0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і час початку та завершення надсилання до депозитарної установи бюлетенів для голосування</w:t>
            </w:r>
          </w:p>
        </w:tc>
        <w:tc>
          <w:tcPr>
            <w:tcW w:w="6637" w:type="dxa"/>
            <w:tcBorders>
              <w:top w:val="single" w:sz="6" w:space="0" w:color="auto"/>
              <w:left w:val="single" w:sz="6" w:space="0" w:color="auto"/>
              <w:bottom w:val="single" w:sz="6" w:space="0" w:color="auto"/>
            </w:tcBorders>
            <w:vAlign w:val="center"/>
          </w:tcPr>
          <w:p w14:paraId="0D866F1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Початок: 04.11.2024 11:00 </w:t>
            </w:r>
          </w:p>
          <w:p w14:paraId="79615FD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Завершення: 14.11.2024 18:00</w:t>
            </w:r>
          </w:p>
        </w:tc>
      </w:tr>
      <w:tr w:rsidR="00000000" w14:paraId="471CC019"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5B0EA1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Дані про мету зменшення розміру статутного капіталу та спосіб, у який буде проведено таку процедуру</w:t>
            </w:r>
          </w:p>
        </w:tc>
        <w:tc>
          <w:tcPr>
            <w:tcW w:w="6637" w:type="dxa"/>
            <w:tcBorders>
              <w:top w:val="single" w:sz="6" w:space="0" w:color="auto"/>
              <w:left w:val="single" w:sz="6" w:space="0" w:color="auto"/>
              <w:bottom w:val="single" w:sz="6" w:space="0" w:color="auto"/>
            </w:tcBorders>
            <w:vAlign w:val="center"/>
          </w:tcPr>
          <w:p w14:paraId="5F11C0C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w:t>
            </w:r>
          </w:p>
        </w:tc>
      </w:tr>
      <w:tr w:rsidR="00000000" w14:paraId="3BDAC688"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35024EF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Інші відомості, передбачені законодавством</w:t>
            </w:r>
          </w:p>
        </w:tc>
        <w:tc>
          <w:tcPr>
            <w:tcW w:w="6637" w:type="dxa"/>
            <w:tcBorders>
              <w:top w:val="single" w:sz="6" w:space="0" w:color="auto"/>
              <w:left w:val="single" w:sz="6" w:space="0" w:color="auto"/>
              <w:bottom w:val="single" w:sz="6" w:space="0" w:color="auto"/>
            </w:tcBorders>
            <w:vAlign w:val="center"/>
          </w:tcPr>
          <w:p w14:paraId="349BD89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Дата проведення Загальних зборів (дата завершення голосування): 14.11.2024 року. </w:t>
            </w:r>
          </w:p>
          <w:p w14:paraId="59D196B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розміщення бюлетеня для голосування щодо інших питань порядку денного, крім обрання органів товариства у вільному для акціонерів доступі на сторінці власного веб-сайту Товариства – 04.11.2024 року не пізніше 11:00.</w:t>
            </w:r>
          </w:p>
          <w:p w14:paraId="588FAD3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Голосування на загальних зборах з відповідних питань порядку денного розпочинається з моменту розміщення на веб-сайті товариства відповідного бюлетеня для голосування. </w:t>
            </w:r>
          </w:p>
          <w:p w14:paraId="1AF5F74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Адреса сторінки на власному веб-сайті Товариства, на якій розміщена інформація з проектами рішень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w:t>
            </w:r>
            <w:r>
              <w:rPr>
                <w:rFonts w:ascii="Times New Roman" w:hAnsi="Times New Roman" w:cs="Times New Roman"/>
                <w:kern w:val="0"/>
                <w:sz w:val="20"/>
                <w:szCs w:val="20"/>
              </w:rPr>
              <w:lastRenderedPageBreak/>
              <w:t>голосуючих акцій станом на дату складання переліку осіб, яким надсилається повідомлення про проведення загальних зборів, перелік документів, що має надати акціонер (представник акціонера) для його участі у Загальних зборах, бюлетені для голосування тощо – https://lv.naftogaz.com/%d1%96%d0%bd%d1%84%d0%be%d1%80%d0%bc%d0%b0%d1%86%d1%96%d1%8f-%d0%b4%d0%bb%d1%8f-%d0%b0%d0%ba%d1%86%d1%96%d0%be%d0%bd%d0%b5%d1%80%d1%96%d0%b2-%d1%82%d0%b0-%d1%81%d1%82%d0%b5%d0%b9%d0%ba%d1%85%d0%be/</w:t>
            </w:r>
          </w:p>
          <w:p w14:paraId="691CD4E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Ці загальні збори акціонерів є позачерговими, в розумінні статті 36 Закону України «Про акціонерні товариства». </w:t>
            </w:r>
          </w:p>
          <w:p w14:paraId="1221A2C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Спосіб проведення загальних зборів: Загальні збори проводяться шляхом опитування (дистанційно) у відповідності до Закону України «Про акціонерні товариства» та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06.03.2023 № 236 (зі змінами).</w:t>
            </w:r>
          </w:p>
          <w:p w14:paraId="2F6D75F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Між питаннями, включеними до порядку денного, взаємозв’язок відсутній. Наявність взаємозв’язку між питаннями, включеними до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або прийняття взаємовиключного рішення з попереднього (одного з попередніх) питання порядку денного.</w:t>
            </w:r>
          </w:p>
          <w:p w14:paraId="15546DB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Датою початку голосування акціонерів з відповідних питань порядку денного є дата розміщення відповідного бюлетеню (бюлетенів) для голосування у вільному для акціонерів доступі (голосування розпочинається з моменту розміщення на веб-сайті Товариства відповідного бюлетеня для голосування).</w:t>
            </w:r>
          </w:p>
          <w:p w14:paraId="6302A4A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Датою завершення голосування акціонерів є дата проведення Загальних зборів. Бюлетені приймаються виключно до 18-00 дати завершення голосування.</w:t>
            </w:r>
          </w:p>
          <w:p w14:paraId="777489D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(його представник) в період проведення голосування може направити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w:t>
            </w:r>
          </w:p>
          <w:p w14:paraId="4CD7F24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Кількість голосів акціонера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14:paraId="1375DE5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Для участі у Загальних зборах акціонер повинен надати депозитарній установі бюлетень (бюлетені) для голосування на загальних зборах, який засвідчується кваліфікованим електронним підписом акціонера (його представника) та/або іншим засобом електронної ідентифікації; паспорт або інший документ, що згідно чинного законодавства України посвідчує особу акціонера (його представника); представнику акціонера - документ, що підтверджує його повноваження, або засвідчену належним чином копію такого документа.</w:t>
            </w:r>
          </w:p>
          <w:p w14:paraId="2BE0707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Депозитарна установа, якій акціонер (представник акціонера) подає вищезазначені документи та яка обслуговує рахунок в цінних паперах такого акціонера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проведення дистанційних загальних зборів акціонерів, а також чинним законодавством України.</w:t>
            </w:r>
          </w:p>
          <w:p w14:paraId="5C46BD5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Бюлетень для голосування на загальних зборах засвідчується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цінних паперів та фондового ринку.</w:t>
            </w:r>
          </w:p>
          <w:p w14:paraId="20DBDE4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З урахуванням норм рішення Національної комісії з цінних паперів та фондового ринку «Щодо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 №154 від 16.02.2023 (зі змінами), бюлетені для голосування на дистанційних загальних зборах акціонерів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w:t>
            </w:r>
            <w:r>
              <w:rPr>
                <w:rFonts w:ascii="Times New Roman" w:hAnsi="Times New Roman" w:cs="Times New Roman"/>
                <w:kern w:val="0"/>
                <w:sz w:val="20"/>
                <w:szCs w:val="20"/>
              </w:rPr>
              <w:lastRenderedPageBreak/>
              <w:t>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p>
          <w:p w14:paraId="2DEBDBF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Бюлетені для голосування на Загальних зборах Товариства подаються депозитарній установі одним з наступних способів:</w:t>
            </w:r>
          </w:p>
          <w:p w14:paraId="4C62116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(представника акціонера); або</w:t>
            </w:r>
          </w:p>
          <w:p w14:paraId="6941AC1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2) шляхом подання бюлетенів в паперовій формі безпосередньо до депозитарної установи із засвідченням підпису акціонера (представника акціонера) на бюлетені за його вибором:</w:t>
            </w:r>
          </w:p>
          <w:p w14:paraId="1774309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нотаріально (за умови підписання бюлетеня в присутності нотаріуса або посадової особи, яка вчиняє нотаріальні дії), або</w:t>
            </w:r>
          </w:p>
          <w:p w14:paraId="5F7823A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p w14:paraId="1EFDD7D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(за умови підписання бюлетеня в присутності нотаріуса або посадової особи,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Бюлетені для голосування, подані в паперовій формі, які не засвідчені підписом акціонера (його представника), та бюлетені, засвідчені підписом особи, яка не вказана у бюлетені відповідно до вимог Порядку, не приймаються депозитарною установою для подальшого опрацювання. </w:t>
            </w:r>
          </w:p>
          <w:p w14:paraId="0B4D9F0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АТ "ЛЬВІВГАЗ" повідомляє, що особам, яким рахунок в цінних паперах депозитарною установою відкрито на підставі договору з Товариством, необхідно укласти договір з депозитарними установами для забезпечення реалізації права на участь у дистанційних Загальних зборах.</w:t>
            </w:r>
          </w:p>
        </w:tc>
      </w:tr>
      <w:tr w:rsidR="00000000" w14:paraId="0C82F965"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52FF13F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6637" w:type="dxa"/>
            <w:tcBorders>
              <w:top w:val="single" w:sz="6" w:space="0" w:color="auto"/>
              <w:left w:val="single" w:sz="6" w:space="0" w:color="auto"/>
              <w:bottom w:val="single" w:sz="6" w:space="0" w:color="auto"/>
            </w:tcBorders>
            <w:vAlign w:val="center"/>
          </w:tcPr>
          <w:p w14:paraId="1EADCC4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11/24 від 23.08.2024</w:t>
            </w:r>
          </w:p>
        </w:tc>
      </w:tr>
      <w:tr w:rsidR="00000000" w14:paraId="4C3F2EE6" w14:textId="77777777" w:rsidTr="0026319C">
        <w:tblPrEx>
          <w:tblCellMar>
            <w:top w:w="0" w:type="dxa"/>
            <w:bottom w:w="0" w:type="dxa"/>
          </w:tblCellMar>
        </w:tblPrEx>
        <w:trPr>
          <w:trHeight w:val="300"/>
        </w:trPr>
        <w:tc>
          <w:tcPr>
            <w:tcW w:w="3828" w:type="dxa"/>
            <w:tcBorders>
              <w:top w:val="single" w:sz="6" w:space="0" w:color="auto"/>
              <w:bottom w:val="single" w:sz="6" w:space="0" w:color="auto"/>
              <w:right w:val="single" w:sz="6" w:space="0" w:color="auto"/>
            </w:tcBorders>
            <w:vAlign w:val="center"/>
          </w:tcPr>
          <w:p w14:paraId="17A6483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складання повідомлення</w:t>
            </w:r>
          </w:p>
        </w:tc>
        <w:tc>
          <w:tcPr>
            <w:tcW w:w="6637" w:type="dxa"/>
            <w:tcBorders>
              <w:top w:val="single" w:sz="6" w:space="0" w:color="auto"/>
              <w:left w:val="single" w:sz="6" w:space="0" w:color="auto"/>
              <w:bottom w:val="single" w:sz="6" w:space="0" w:color="auto"/>
            </w:tcBorders>
            <w:vAlign w:val="center"/>
          </w:tcPr>
          <w:p w14:paraId="612E675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23.08.2024</w:t>
            </w:r>
          </w:p>
        </w:tc>
      </w:tr>
    </w:tbl>
    <w:p w14:paraId="2EF71389" w14:textId="77777777" w:rsidR="00CF6B21" w:rsidRDefault="00CF6B21"/>
    <w:sectPr w:rsidR="00CF6B21">
      <w:footerReference w:type="default" r:id="rId6"/>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67931" w14:textId="77777777" w:rsidR="00CF6B21" w:rsidRDefault="00CF6B21">
      <w:pPr>
        <w:spacing w:after="0" w:line="240" w:lineRule="auto"/>
      </w:pPr>
      <w:r>
        <w:separator/>
      </w:r>
    </w:p>
  </w:endnote>
  <w:endnote w:type="continuationSeparator" w:id="0">
    <w:p w14:paraId="7D646017" w14:textId="77777777" w:rsidR="00CF6B21" w:rsidRDefault="00CF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08543"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26319C">
      <w:rPr>
        <w:rFonts w:ascii="Times New Roman" w:hAnsi="Times New Roman" w:cs="Times New Roman"/>
        <w:kern w:val="0"/>
        <w:sz w:val="20"/>
        <w:szCs w:val="20"/>
        <w:lang w:val="ru-RU"/>
      </w:rPr>
      <w:fldChar w:fldCharType="separate"/>
    </w:r>
    <w:r w:rsidR="0026319C">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1B4BA" w14:textId="77777777" w:rsidR="00CF6B21" w:rsidRDefault="00CF6B21">
      <w:pPr>
        <w:spacing w:after="0" w:line="240" w:lineRule="auto"/>
      </w:pPr>
      <w:r>
        <w:separator/>
      </w:r>
    </w:p>
  </w:footnote>
  <w:footnote w:type="continuationSeparator" w:id="0">
    <w:p w14:paraId="524A2970" w14:textId="77777777" w:rsidR="00CF6B21" w:rsidRDefault="00CF6B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4B"/>
    <w:rsid w:val="0026319C"/>
    <w:rsid w:val="008B534B"/>
    <w:rsid w:val="00CF6B21"/>
    <w:rsid w:val="00E257D5"/>
    <w:rsid w:val="00E80F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81BB19"/>
  <w14:defaultImageDpi w14:val="0"/>
  <w15:docId w15:val="{B3435A7D-090B-4AAD-B09E-692D3280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14600</Words>
  <Characters>8323</Characters>
  <Application>Microsoft Office Word</Application>
  <DocSecurity>0</DocSecurity>
  <Lines>69</Lines>
  <Paragraphs>45</Paragraphs>
  <ScaleCrop>false</ScaleCrop>
  <Company/>
  <LinksUpToDate>false</LinksUpToDate>
  <CharactersWithSpaces>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ТОВ ФК Фаворит</dc:creator>
  <cp:keywords/>
  <dc:description/>
  <cp:lastModifiedBy>ТОВ ФК Фаворит</cp:lastModifiedBy>
  <cp:revision>2</cp:revision>
  <dcterms:created xsi:type="dcterms:W3CDTF">2024-08-30T09:59:00Z</dcterms:created>
  <dcterms:modified xsi:type="dcterms:W3CDTF">2024-08-30T09:59:00Z</dcterms:modified>
</cp:coreProperties>
</file>