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8F2D0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r>
        <w:rPr>
          <w:rFonts w:ascii="Times New Roman CYR" w:hAnsi="Times New Roman CYR" w:cs="Times New Roman CYR"/>
          <w:b/>
          <w:bCs/>
          <w:kern w:val="0"/>
          <w:sz w:val="28"/>
          <w:szCs w:val="28"/>
        </w:rPr>
        <w:t>Титульний аркуш Повідомлення (Повідомлення про інформацію)</w:t>
      </w:r>
    </w:p>
    <w:p w14:paraId="53C05FC8"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8"/>
          <w:szCs w:val="28"/>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500"/>
      </w:tblGrid>
      <w:tr w:rsidR="00000000" w14:paraId="7D94BFFA"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1627528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28.12.2023</w:t>
            </w:r>
          </w:p>
        </w:tc>
      </w:tr>
      <w:tr w:rsidR="00000000" w14:paraId="677D970B" w14:textId="77777777">
        <w:tblPrEx>
          <w:tblCellMar>
            <w:top w:w="0" w:type="dxa"/>
            <w:bottom w:w="0" w:type="dxa"/>
          </w:tblCellMar>
        </w:tblPrEx>
        <w:trPr>
          <w:trHeight w:val="300"/>
        </w:trPr>
        <w:tc>
          <w:tcPr>
            <w:tcW w:w="5500" w:type="dxa"/>
            <w:tcBorders>
              <w:top w:val="nil"/>
              <w:left w:val="nil"/>
              <w:bottom w:val="nil"/>
              <w:right w:val="nil"/>
            </w:tcBorders>
            <w:vAlign w:val="bottom"/>
          </w:tcPr>
          <w:p w14:paraId="4E95E4F6"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(дата реєстрації емітентом електронного документа)</w:t>
            </w:r>
          </w:p>
        </w:tc>
      </w:tr>
      <w:tr w:rsidR="00000000" w14:paraId="3C2D5536" w14:textId="77777777">
        <w:tblPrEx>
          <w:tblCellMar>
            <w:top w:w="0" w:type="dxa"/>
            <w:bottom w:w="0" w:type="dxa"/>
          </w:tblCellMar>
        </w:tblPrEx>
        <w:trPr>
          <w:trHeight w:val="300"/>
        </w:trPr>
        <w:tc>
          <w:tcPr>
            <w:tcW w:w="5500" w:type="dxa"/>
            <w:tcBorders>
              <w:top w:val="nil"/>
              <w:left w:val="nil"/>
              <w:bottom w:val="single" w:sz="6" w:space="0" w:color="auto"/>
              <w:right w:val="nil"/>
            </w:tcBorders>
            <w:vAlign w:val="bottom"/>
          </w:tcPr>
          <w:p w14:paraId="58186D7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 3</w:t>
            </w:r>
          </w:p>
        </w:tc>
      </w:tr>
      <w:tr w:rsidR="00000000" w14:paraId="313A3445" w14:textId="77777777">
        <w:tblPrEx>
          <w:tblCellMar>
            <w:top w:w="0" w:type="dxa"/>
            <w:bottom w:w="0" w:type="dxa"/>
          </w:tblCellMar>
        </w:tblPrEx>
        <w:trPr>
          <w:trHeight w:val="300"/>
        </w:trPr>
        <w:tc>
          <w:tcPr>
            <w:tcW w:w="5500" w:type="dxa"/>
            <w:tcBorders>
              <w:top w:val="nil"/>
              <w:left w:val="nil"/>
              <w:bottom w:val="nil"/>
              <w:right w:val="nil"/>
            </w:tcBorders>
            <w:vAlign w:val="bottom"/>
          </w:tcPr>
          <w:p w14:paraId="322ADBA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r>
              <w:rPr>
                <w:rFonts w:ascii="Times New Roman CYR" w:hAnsi="Times New Roman CYR" w:cs="Times New Roman CYR"/>
                <w:kern w:val="0"/>
                <w:sz w:val="20"/>
                <w:szCs w:val="20"/>
              </w:rPr>
              <w:t>(вихідний реєстраційний номер електронного документа)</w:t>
            </w:r>
          </w:p>
        </w:tc>
      </w:tr>
    </w:tbl>
    <w:p w14:paraId="20F40C4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580"/>
      </w:tblGrid>
      <w:tr w:rsidR="00000000" w14:paraId="005EAD9C" w14:textId="77777777">
        <w:tblPrEx>
          <w:tblCellMar>
            <w:top w:w="0" w:type="dxa"/>
            <w:bottom w:w="0" w:type="dxa"/>
          </w:tblCellMar>
        </w:tblPrEx>
        <w:trPr>
          <w:trHeight w:val="300"/>
        </w:trPr>
        <w:tc>
          <w:tcPr>
            <w:tcW w:w="10580" w:type="dxa"/>
            <w:tcBorders>
              <w:top w:val="nil"/>
              <w:left w:val="nil"/>
              <w:bottom w:val="nil"/>
              <w:right w:val="nil"/>
            </w:tcBorders>
            <w:vAlign w:val="bottom"/>
          </w:tcPr>
          <w:p w14:paraId="4D8848D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w:t>
            </w:r>
          </w:p>
        </w:tc>
      </w:tr>
    </w:tbl>
    <w:p w14:paraId="4B36DCD0"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140"/>
        <w:gridCol w:w="236"/>
        <w:gridCol w:w="1354"/>
        <w:gridCol w:w="236"/>
        <w:gridCol w:w="4654"/>
      </w:tblGrid>
      <w:tr w:rsidR="00000000" w14:paraId="4A92F622" w14:textId="77777777">
        <w:tblPrEx>
          <w:tblCellMar>
            <w:top w:w="0" w:type="dxa"/>
            <w:bottom w:w="0" w:type="dxa"/>
          </w:tblCellMar>
        </w:tblPrEx>
        <w:trPr>
          <w:trHeight w:val="200"/>
        </w:trPr>
        <w:tc>
          <w:tcPr>
            <w:tcW w:w="4140" w:type="dxa"/>
            <w:tcBorders>
              <w:top w:val="nil"/>
              <w:left w:val="nil"/>
              <w:bottom w:val="single" w:sz="6" w:space="0" w:color="auto"/>
              <w:right w:val="nil"/>
            </w:tcBorders>
            <w:vAlign w:val="bottom"/>
          </w:tcPr>
          <w:p w14:paraId="12C1F8A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В.о.Голови Правління </w:t>
            </w:r>
          </w:p>
        </w:tc>
        <w:tc>
          <w:tcPr>
            <w:tcW w:w="216" w:type="dxa"/>
            <w:tcBorders>
              <w:top w:val="nil"/>
              <w:left w:val="nil"/>
              <w:bottom w:val="nil"/>
              <w:right w:val="nil"/>
            </w:tcBorders>
          </w:tcPr>
          <w:p w14:paraId="366DAFE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1354" w:type="dxa"/>
            <w:tcBorders>
              <w:top w:val="nil"/>
              <w:left w:val="nil"/>
              <w:bottom w:val="single" w:sz="6" w:space="0" w:color="auto"/>
              <w:right w:val="nil"/>
            </w:tcBorders>
            <w:vAlign w:val="bottom"/>
          </w:tcPr>
          <w:p w14:paraId="2903284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216" w:type="dxa"/>
            <w:tcBorders>
              <w:top w:val="nil"/>
              <w:left w:val="nil"/>
              <w:bottom w:val="nil"/>
              <w:right w:val="nil"/>
            </w:tcBorders>
          </w:tcPr>
          <w:p w14:paraId="792E394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c>
        <w:tc>
          <w:tcPr>
            <w:tcW w:w="4654" w:type="dxa"/>
            <w:tcBorders>
              <w:top w:val="nil"/>
              <w:left w:val="nil"/>
              <w:bottom w:val="single" w:sz="6" w:space="0" w:color="auto"/>
              <w:right w:val="nil"/>
            </w:tcBorders>
            <w:vAlign w:val="bottom"/>
          </w:tcPr>
          <w:p w14:paraId="7D58968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Дацюк П.М.</w:t>
            </w:r>
          </w:p>
        </w:tc>
      </w:tr>
      <w:tr w:rsidR="00000000" w14:paraId="7C42FC87" w14:textId="77777777">
        <w:tblPrEx>
          <w:tblCellMar>
            <w:top w:w="0" w:type="dxa"/>
            <w:bottom w:w="0" w:type="dxa"/>
          </w:tblCellMar>
        </w:tblPrEx>
        <w:trPr>
          <w:trHeight w:val="200"/>
        </w:trPr>
        <w:tc>
          <w:tcPr>
            <w:tcW w:w="4140" w:type="dxa"/>
            <w:tcBorders>
              <w:top w:val="nil"/>
              <w:left w:val="nil"/>
              <w:bottom w:val="nil"/>
              <w:right w:val="nil"/>
            </w:tcBorders>
          </w:tcPr>
          <w:p w14:paraId="02F94867"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(посада)</w:t>
            </w:r>
          </w:p>
        </w:tc>
        <w:tc>
          <w:tcPr>
            <w:tcW w:w="216" w:type="dxa"/>
            <w:tcBorders>
              <w:top w:val="nil"/>
              <w:left w:val="nil"/>
              <w:bottom w:val="nil"/>
              <w:right w:val="nil"/>
            </w:tcBorders>
          </w:tcPr>
          <w:p w14:paraId="305B46EC"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1354" w:type="dxa"/>
            <w:tcBorders>
              <w:top w:val="nil"/>
              <w:left w:val="nil"/>
              <w:bottom w:val="nil"/>
              <w:right w:val="nil"/>
            </w:tcBorders>
          </w:tcPr>
          <w:p w14:paraId="38BCABB8"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(підпис)</w:t>
            </w:r>
          </w:p>
        </w:tc>
        <w:tc>
          <w:tcPr>
            <w:tcW w:w="216" w:type="dxa"/>
            <w:tcBorders>
              <w:top w:val="nil"/>
              <w:left w:val="nil"/>
              <w:bottom w:val="nil"/>
              <w:right w:val="nil"/>
            </w:tcBorders>
          </w:tcPr>
          <w:p w14:paraId="39149679"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p>
        </w:tc>
        <w:tc>
          <w:tcPr>
            <w:tcW w:w="4654" w:type="dxa"/>
            <w:tcBorders>
              <w:top w:val="nil"/>
              <w:left w:val="nil"/>
              <w:bottom w:val="nil"/>
              <w:right w:val="nil"/>
            </w:tcBorders>
          </w:tcPr>
          <w:p w14:paraId="65DD779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(прізвище та ініціали керівника або уповноваженої особи емітента)</w:t>
            </w:r>
          </w:p>
        </w:tc>
      </w:tr>
    </w:tbl>
    <w:p w14:paraId="30DECB3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p w14:paraId="6E26E6B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Особлива інформація (інформація про іпотечні цінні папери, сертифікати фонду операцій з нерухомістю) емітента</w:t>
      </w:r>
    </w:p>
    <w:p w14:paraId="656D6C8B"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8"/>
          <w:szCs w:val="28"/>
        </w:rPr>
      </w:pPr>
    </w:p>
    <w:p w14:paraId="31E9F2B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І. Загальні відомості</w:t>
      </w:r>
    </w:p>
    <w:p w14:paraId="7711A86D"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1. Повне найменування емітента:</w:t>
      </w:r>
    </w:p>
    <w:p w14:paraId="7B775C26"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ab/>
        <w:t xml:space="preserve">Акціонерне товариство "Оператор газорозподільної системи "Львівгаз" </w:t>
      </w:r>
    </w:p>
    <w:p w14:paraId="2D17161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2. Організаційно-правова форма:</w:t>
      </w:r>
    </w:p>
    <w:p w14:paraId="69B6522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Акціонерне товариство</w:t>
      </w:r>
    </w:p>
    <w:p w14:paraId="127B9DE8"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3. Місцезнаходження:</w:t>
      </w:r>
    </w:p>
    <w:p w14:paraId="2B65960A"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79039, Львівська обл., Львів, Золота, 42</w:t>
      </w:r>
    </w:p>
    <w:p w14:paraId="7339BF6B"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4. Ідентифікаційний код юридичної особи:</w:t>
      </w:r>
    </w:p>
    <w:p w14:paraId="0971582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03349039</w:t>
      </w:r>
    </w:p>
    <w:p w14:paraId="5C4F490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5. Міжміський код та телефон, факс:</w:t>
      </w:r>
    </w:p>
    <w:p w14:paraId="68B247B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(032)2591101, 322591104</w:t>
      </w:r>
    </w:p>
    <w:p w14:paraId="1A7743EE"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6. Адреса електронної пошти:</w:t>
      </w:r>
    </w:p>
    <w:p w14:paraId="6C75B742"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ofice@lv.naftogaz.com</w:t>
      </w:r>
    </w:p>
    <w:p w14:paraId="7B0448D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7.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проводить діяльність з оприлюднення регульованої інформації від імені учасника фондового ринку (у разі здійснення оприлюднення):</w:t>
      </w:r>
    </w:p>
    <w:p w14:paraId="6E6B9FFF"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r>
    </w:p>
    <w:p w14:paraId="31E5DA85"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подання звітності та/або адміністративних даних до Національної комісії з цінних паперів та фондового ринку (у разі, якщо емітент не подає Інформацію до Національної комісії з цінних паперів та фондового ринку безпосередньо):</w:t>
      </w:r>
    </w:p>
    <w:p w14:paraId="59FCF4E9"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ab/>
        <w:t>Державна установа "Агентство з розвитку інфраструктури фондового ринку України", 21676262, Україна, DR/00002/ARM</w:t>
      </w:r>
    </w:p>
    <w:p w14:paraId="584C6B41"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p>
    <w:p w14:paraId="06BB89F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 xml:space="preserve">ІІ. Дані про дату та місце оприлюднення Повідомлення (Повідомлення про інформацію) </w:t>
      </w:r>
    </w:p>
    <w:p w14:paraId="63A7703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4"/>
          <w:szCs w:val="24"/>
        </w:rPr>
      </w:pPr>
    </w:p>
    <w:tbl>
      <w:tblPr>
        <w:tblW w:w="0" w:type="auto"/>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450"/>
        <w:gridCol w:w="4130"/>
        <w:gridCol w:w="2000"/>
      </w:tblGrid>
      <w:tr w:rsidR="00000000" w14:paraId="4299C212" w14:textId="77777777">
        <w:tblPrEx>
          <w:tblCellMar>
            <w:top w:w="0" w:type="dxa"/>
            <w:bottom w:w="0" w:type="dxa"/>
          </w:tblCellMar>
        </w:tblPrEx>
        <w:trPr>
          <w:trHeight w:val="300"/>
        </w:trPr>
        <w:tc>
          <w:tcPr>
            <w:tcW w:w="4450" w:type="dxa"/>
            <w:vMerge w:val="restart"/>
            <w:tcBorders>
              <w:top w:val="nil"/>
              <w:left w:val="nil"/>
              <w:bottom w:val="nil"/>
              <w:right w:val="nil"/>
            </w:tcBorders>
          </w:tcPr>
          <w:p w14:paraId="2987BD87"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4"/>
                <w:szCs w:val="24"/>
              </w:rPr>
            </w:pPr>
            <w:r>
              <w:rPr>
                <w:rFonts w:ascii="Times New Roman CYR" w:hAnsi="Times New Roman CYR" w:cs="Times New Roman CYR"/>
                <w:kern w:val="0"/>
                <w:sz w:val="24"/>
                <w:szCs w:val="24"/>
              </w:rPr>
              <w:t>Повідомлення розміщено на власному веб-сайті учасника фондового ринку</w:t>
            </w:r>
          </w:p>
        </w:tc>
        <w:tc>
          <w:tcPr>
            <w:tcW w:w="4130" w:type="dxa"/>
            <w:tcBorders>
              <w:top w:val="nil"/>
              <w:left w:val="nil"/>
              <w:bottom w:val="single" w:sz="6" w:space="0" w:color="auto"/>
              <w:right w:val="nil"/>
            </w:tcBorders>
            <w:vAlign w:val="bottom"/>
          </w:tcPr>
          <w:p w14:paraId="577EA09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https://lv.naftogaz.com</w:t>
            </w:r>
          </w:p>
        </w:tc>
        <w:tc>
          <w:tcPr>
            <w:tcW w:w="2000" w:type="dxa"/>
            <w:tcBorders>
              <w:top w:val="nil"/>
              <w:left w:val="nil"/>
              <w:bottom w:val="single" w:sz="6" w:space="0" w:color="auto"/>
              <w:right w:val="nil"/>
            </w:tcBorders>
            <w:vAlign w:val="bottom"/>
          </w:tcPr>
          <w:p w14:paraId="2FE36B57"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kern w:val="0"/>
                <w:sz w:val="24"/>
                <w:szCs w:val="24"/>
              </w:rPr>
              <w:t>28.12.2023</w:t>
            </w:r>
          </w:p>
        </w:tc>
      </w:tr>
      <w:tr w:rsidR="00000000" w14:paraId="7333B6EC" w14:textId="77777777">
        <w:tblPrEx>
          <w:tblCellMar>
            <w:top w:w="0" w:type="dxa"/>
            <w:bottom w:w="0" w:type="dxa"/>
          </w:tblCellMar>
        </w:tblPrEx>
        <w:trPr>
          <w:trHeight w:val="300"/>
        </w:trPr>
        <w:tc>
          <w:tcPr>
            <w:tcW w:w="4450" w:type="dxa"/>
            <w:vMerge/>
            <w:tcBorders>
              <w:top w:val="nil"/>
              <w:left w:val="nil"/>
              <w:bottom w:val="nil"/>
              <w:right w:val="nil"/>
            </w:tcBorders>
          </w:tcPr>
          <w:p w14:paraId="1FB701BC"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pPr>
          </w:p>
        </w:tc>
        <w:tc>
          <w:tcPr>
            <w:tcW w:w="4130" w:type="dxa"/>
            <w:tcBorders>
              <w:top w:val="nil"/>
              <w:left w:val="nil"/>
              <w:bottom w:val="nil"/>
              <w:right w:val="nil"/>
            </w:tcBorders>
            <w:vAlign w:val="bottom"/>
          </w:tcPr>
          <w:p w14:paraId="4ACA50E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(URL-адреса веб-сайту)</w:t>
            </w:r>
          </w:p>
        </w:tc>
        <w:tc>
          <w:tcPr>
            <w:tcW w:w="2000" w:type="dxa"/>
            <w:tcBorders>
              <w:top w:val="nil"/>
              <w:left w:val="nil"/>
              <w:bottom w:val="nil"/>
              <w:right w:val="nil"/>
            </w:tcBorders>
            <w:vAlign w:val="bottom"/>
          </w:tcPr>
          <w:p w14:paraId="4E8F86D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(дата)</w:t>
            </w:r>
          </w:p>
        </w:tc>
      </w:tr>
    </w:tbl>
    <w:p w14:paraId="21FD6203" w14:textId="77777777" w:rsidR="00000000" w:rsidRDefault="00000000">
      <w:pPr>
        <w:widowControl w:val="0"/>
        <w:autoSpaceDE w:val="0"/>
        <w:autoSpaceDN w:val="0"/>
        <w:adjustRightInd w:val="0"/>
        <w:spacing w:after="0" w:line="240" w:lineRule="auto"/>
        <w:rPr>
          <w:rFonts w:ascii="Times New Roman CYR" w:hAnsi="Times New Roman CYR" w:cs="Times New Roman CYR"/>
          <w:kern w:val="0"/>
          <w:sz w:val="20"/>
          <w:szCs w:val="20"/>
        </w:rPr>
        <w:sectPr w:rsidR="00000000">
          <w:pgSz w:w="12240" w:h="15840"/>
          <w:pgMar w:top="850" w:right="850" w:bottom="850" w:left="850" w:header="708" w:footer="708" w:gutter="0"/>
          <w:cols w:space="720"/>
          <w:noEndnote/>
        </w:sectPr>
      </w:pPr>
    </w:p>
    <w:p w14:paraId="10A5E4A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r>
        <w:rPr>
          <w:rFonts w:ascii="Times New Roman CYR" w:hAnsi="Times New Roman CYR" w:cs="Times New Roman CYR"/>
          <w:b/>
          <w:bCs/>
          <w:kern w:val="0"/>
          <w:sz w:val="24"/>
          <w:szCs w:val="24"/>
        </w:rPr>
        <w:lastRenderedPageBreak/>
        <w:t>Відомості про прийняття рішення про виплату дивідендів</w:t>
      </w:r>
    </w:p>
    <w:p w14:paraId="4742CE0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4"/>
          <w:szCs w:val="24"/>
        </w:rPr>
      </w:pPr>
    </w:p>
    <w:tbl>
      <w:tblPr>
        <w:tblW w:w="0" w:type="auto"/>
        <w:tblInd w:w="-354"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762"/>
        <w:gridCol w:w="1300"/>
        <w:gridCol w:w="2000"/>
        <w:gridCol w:w="2000"/>
        <w:gridCol w:w="2400"/>
        <w:gridCol w:w="2000"/>
      </w:tblGrid>
      <w:tr w:rsidR="00000000" w14:paraId="2114E22C"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14:paraId="68E62B0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 з/п</w:t>
            </w:r>
          </w:p>
        </w:tc>
        <w:tc>
          <w:tcPr>
            <w:tcW w:w="1300" w:type="dxa"/>
            <w:tcBorders>
              <w:top w:val="single" w:sz="6" w:space="0" w:color="auto"/>
              <w:left w:val="single" w:sz="6" w:space="0" w:color="auto"/>
              <w:bottom w:val="single" w:sz="6" w:space="0" w:color="auto"/>
              <w:right w:val="single" w:sz="6" w:space="0" w:color="auto"/>
            </w:tcBorders>
            <w:vAlign w:val="center"/>
          </w:tcPr>
          <w:p w14:paraId="610D482A"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 xml:space="preserve"> Дата вчинення дії</w:t>
            </w:r>
          </w:p>
        </w:tc>
        <w:tc>
          <w:tcPr>
            <w:tcW w:w="2000" w:type="dxa"/>
            <w:tcBorders>
              <w:top w:val="single" w:sz="6" w:space="0" w:color="auto"/>
              <w:left w:val="single" w:sz="6" w:space="0" w:color="auto"/>
              <w:bottom w:val="single" w:sz="6" w:space="0" w:color="auto"/>
              <w:right w:val="single" w:sz="6" w:space="0" w:color="auto"/>
            </w:tcBorders>
            <w:vAlign w:val="center"/>
          </w:tcPr>
          <w:p w14:paraId="55965BE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Розмір дивідендів, що підлягають виплаті, грн</w:t>
            </w:r>
          </w:p>
        </w:tc>
        <w:tc>
          <w:tcPr>
            <w:tcW w:w="2000" w:type="dxa"/>
            <w:tcBorders>
              <w:top w:val="single" w:sz="6" w:space="0" w:color="auto"/>
              <w:left w:val="single" w:sz="6" w:space="0" w:color="auto"/>
              <w:bottom w:val="single" w:sz="6" w:space="0" w:color="auto"/>
              <w:right w:val="single" w:sz="6" w:space="0" w:color="auto"/>
            </w:tcBorders>
            <w:vAlign w:val="center"/>
          </w:tcPr>
          <w:p w14:paraId="0451B027"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Розмір дивідендів на одну акцію, грн</w:t>
            </w:r>
          </w:p>
        </w:tc>
        <w:tc>
          <w:tcPr>
            <w:tcW w:w="2400" w:type="dxa"/>
            <w:tcBorders>
              <w:top w:val="single" w:sz="6" w:space="0" w:color="auto"/>
              <w:left w:val="single" w:sz="6" w:space="0" w:color="auto"/>
              <w:bottom w:val="single" w:sz="6" w:space="0" w:color="auto"/>
              <w:right w:val="single" w:sz="6" w:space="0" w:color="auto"/>
            </w:tcBorders>
            <w:vAlign w:val="center"/>
          </w:tcPr>
          <w:p w14:paraId="4CDF70DB"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Строк виплати дивідендів</w:t>
            </w:r>
          </w:p>
        </w:tc>
        <w:tc>
          <w:tcPr>
            <w:tcW w:w="2000" w:type="dxa"/>
            <w:tcBorders>
              <w:top w:val="single" w:sz="6" w:space="0" w:color="auto"/>
              <w:left w:val="single" w:sz="6" w:space="0" w:color="auto"/>
              <w:bottom w:val="single" w:sz="6" w:space="0" w:color="auto"/>
            </w:tcBorders>
            <w:vAlign w:val="center"/>
          </w:tcPr>
          <w:p w14:paraId="32F94D3D"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Спосіб виплати дивідендів</w:t>
            </w:r>
          </w:p>
        </w:tc>
      </w:tr>
      <w:tr w:rsidR="00000000" w14:paraId="05DBA7C9"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vAlign w:val="center"/>
          </w:tcPr>
          <w:p w14:paraId="393570A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300" w:type="dxa"/>
            <w:tcBorders>
              <w:top w:val="single" w:sz="6" w:space="0" w:color="auto"/>
              <w:left w:val="single" w:sz="6" w:space="0" w:color="auto"/>
              <w:bottom w:val="single" w:sz="6" w:space="0" w:color="auto"/>
              <w:right w:val="single" w:sz="6" w:space="0" w:color="auto"/>
            </w:tcBorders>
            <w:vAlign w:val="center"/>
          </w:tcPr>
          <w:p w14:paraId="522E7E4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w:t>
            </w:r>
          </w:p>
        </w:tc>
        <w:tc>
          <w:tcPr>
            <w:tcW w:w="2000" w:type="dxa"/>
            <w:tcBorders>
              <w:top w:val="single" w:sz="6" w:space="0" w:color="auto"/>
              <w:left w:val="single" w:sz="6" w:space="0" w:color="auto"/>
              <w:bottom w:val="single" w:sz="6" w:space="0" w:color="auto"/>
              <w:right w:val="single" w:sz="6" w:space="0" w:color="auto"/>
            </w:tcBorders>
            <w:vAlign w:val="center"/>
          </w:tcPr>
          <w:p w14:paraId="5CAEF63B"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3</w:t>
            </w:r>
          </w:p>
        </w:tc>
        <w:tc>
          <w:tcPr>
            <w:tcW w:w="2000" w:type="dxa"/>
            <w:tcBorders>
              <w:top w:val="single" w:sz="6" w:space="0" w:color="auto"/>
              <w:left w:val="single" w:sz="6" w:space="0" w:color="auto"/>
              <w:bottom w:val="single" w:sz="6" w:space="0" w:color="auto"/>
              <w:right w:val="single" w:sz="6" w:space="0" w:color="auto"/>
            </w:tcBorders>
            <w:vAlign w:val="center"/>
          </w:tcPr>
          <w:p w14:paraId="3F29151E"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4</w:t>
            </w:r>
          </w:p>
        </w:tc>
        <w:tc>
          <w:tcPr>
            <w:tcW w:w="2400" w:type="dxa"/>
            <w:tcBorders>
              <w:top w:val="single" w:sz="6" w:space="0" w:color="auto"/>
              <w:left w:val="single" w:sz="6" w:space="0" w:color="auto"/>
              <w:bottom w:val="single" w:sz="6" w:space="0" w:color="auto"/>
              <w:right w:val="single" w:sz="6" w:space="0" w:color="auto"/>
            </w:tcBorders>
            <w:vAlign w:val="center"/>
          </w:tcPr>
          <w:p w14:paraId="261BF804"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5</w:t>
            </w:r>
          </w:p>
        </w:tc>
        <w:tc>
          <w:tcPr>
            <w:tcW w:w="2000" w:type="dxa"/>
            <w:tcBorders>
              <w:top w:val="single" w:sz="6" w:space="0" w:color="auto"/>
              <w:left w:val="single" w:sz="6" w:space="0" w:color="auto"/>
              <w:bottom w:val="single" w:sz="6" w:space="0" w:color="auto"/>
            </w:tcBorders>
            <w:vAlign w:val="center"/>
          </w:tcPr>
          <w:p w14:paraId="1A067C4F"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w:t>
            </w:r>
          </w:p>
        </w:tc>
      </w:tr>
      <w:tr w:rsidR="00000000" w14:paraId="27BED2AE" w14:textId="77777777">
        <w:tblPrEx>
          <w:tblCellMar>
            <w:top w:w="0" w:type="dxa"/>
            <w:bottom w:w="0" w:type="dxa"/>
          </w:tblCellMar>
        </w:tblPrEx>
        <w:trPr>
          <w:trHeight w:val="300"/>
        </w:trPr>
        <w:tc>
          <w:tcPr>
            <w:tcW w:w="762" w:type="dxa"/>
            <w:tcBorders>
              <w:top w:val="single" w:sz="6" w:space="0" w:color="auto"/>
              <w:bottom w:val="single" w:sz="6" w:space="0" w:color="auto"/>
              <w:right w:val="single" w:sz="6" w:space="0" w:color="auto"/>
            </w:tcBorders>
          </w:tcPr>
          <w:p w14:paraId="56C08FA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1</w:t>
            </w:r>
          </w:p>
        </w:tc>
        <w:tc>
          <w:tcPr>
            <w:tcW w:w="1300" w:type="dxa"/>
            <w:tcBorders>
              <w:top w:val="single" w:sz="6" w:space="0" w:color="auto"/>
              <w:left w:val="single" w:sz="6" w:space="0" w:color="auto"/>
              <w:bottom w:val="single" w:sz="6" w:space="0" w:color="auto"/>
              <w:right w:val="single" w:sz="6" w:space="0" w:color="auto"/>
            </w:tcBorders>
          </w:tcPr>
          <w:p w14:paraId="3452E383"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22.12.2023</w:t>
            </w:r>
          </w:p>
        </w:tc>
        <w:tc>
          <w:tcPr>
            <w:tcW w:w="2000" w:type="dxa"/>
            <w:tcBorders>
              <w:top w:val="single" w:sz="6" w:space="0" w:color="auto"/>
              <w:left w:val="single" w:sz="6" w:space="0" w:color="auto"/>
              <w:bottom w:val="single" w:sz="6" w:space="0" w:color="auto"/>
              <w:right w:val="single" w:sz="6" w:space="0" w:color="auto"/>
            </w:tcBorders>
          </w:tcPr>
          <w:p w14:paraId="6AEEF220"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218 369 880</w:t>
            </w:r>
          </w:p>
        </w:tc>
        <w:tc>
          <w:tcPr>
            <w:tcW w:w="2000" w:type="dxa"/>
            <w:tcBorders>
              <w:top w:val="single" w:sz="6" w:space="0" w:color="auto"/>
              <w:left w:val="single" w:sz="6" w:space="0" w:color="auto"/>
              <w:bottom w:val="single" w:sz="6" w:space="0" w:color="auto"/>
              <w:right w:val="single" w:sz="6" w:space="0" w:color="auto"/>
            </w:tcBorders>
          </w:tcPr>
          <w:p w14:paraId="6BCBB826"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64,2</w:t>
            </w:r>
          </w:p>
        </w:tc>
        <w:tc>
          <w:tcPr>
            <w:tcW w:w="2400" w:type="dxa"/>
            <w:tcBorders>
              <w:top w:val="single" w:sz="6" w:space="0" w:color="auto"/>
              <w:left w:val="single" w:sz="6" w:space="0" w:color="auto"/>
              <w:bottom w:val="single" w:sz="6" w:space="0" w:color="auto"/>
              <w:right w:val="single" w:sz="6" w:space="0" w:color="auto"/>
            </w:tcBorders>
          </w:tcPr>
          <w:p w14:paraId="016473D5"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з 15.01.2024 до 21.06.2024</w:t>
            </w:r>
          </w:p>
        </w:tc>
        <w:tc>
          <w:tcPr>
            <w:tcW w:w="2000" w:type="dxa"/>
            <w:tcBorders>
              <w:top w:val="single" w:sz="6" w:space="0" w:color="auto"/>
              <w:left w:val="single" w:sz="6" w:space="0" w:color="auto"/>
              <w:bottom w:val="single" w:sz="6" w:space="0" w:color="auto"/>
            </w:tcBorders>
          </w:tcPr>
          <w:p w14:paraId="05BC66C2" w14:textId="77777777" w:rsidR="00000000" w:rsidRDefault="00000000">
            <w:pPr>
              <w:widowControl w:val="0"/>
              <w:autoSpaceDE w:val="0"/>
              <w:autoSpaceDN w:val="0"/>
              <w:adjustRightInd w:val="0"/>
              <w:spacing w:after="0" w:line="240" w:lineRule="auto"/>
              <w:jc w:val="center"/>
              <w:rPr>
                <w:rFonts w:ascii="Times New Roman CYR" w:hAnsi="Times New Roman CYR" w:cs="Times New Roman CYR"/>
                <w:kern w:val="0"/>
                <w:sz w:val="20"/>
                <w:szCs w:val="20"/>
              </w:rPr>
            </w:pPr>
            <w:r>
              <w:rPr>
                <w:rFonts w:ascii="Times New Roman CYR" w:hAnsi="Times New Roman CYR" w:cs="Times New Roman CYR"/>
                <w:kern w:val="0"/>
                <w:sz w:val="20"/>
                <w:szCs w:val="20"/>
              </w:rPr>
              <w:t>через депозитарну систему</w:t>
            </w:r>
          </w:p>
        </w:tc>
      </w:tr>
      <w:tr w:rsidR="00000000" w14:paraId="033C2175" w14:textId="77777777">
        <w:tblPrEx>
          <w:tblCellMar>
            <w:top w:w="0" w:type="dxa"/>
            <w:bottom w:w="0" w:type="dxa"/>
          </w:tblCellMar>
        </w:tblPrEx>
        <w:trPr>
          <w:trHeight w:val="300"/>
        </w:trPr>
        <w:tc>
          <w:tcPr>
            <w:tcW w:w="10462" w:type="dxa"/>
            <w:gridSpan w:val="6"/>
            <w:tcBorders>
              <w:top w:val="single" w:sz="6" w:space="0" w:color="auto"/>
              <w:bottom w:val="single" w:sz="6" w:space="0" w:color="auto"/>
            </w:tcBorders>
            <w:vAlign w:val="center"/>
          </w:tcPr>
          <w:p w14:paraId="5EA53702" w14:textId="77777777" w:rsidR="00000000" w:rsidRDefault="00000000">
            <w:pPr>
              <w:widowControl w:val="0"/>
              <w:autoSpaceDE w:val="0"/>
              <w:autoSpaceDN w:val="0"/>
              <w:adjustRightInd w:val="0"/>
              <w:spacing w:after="0" w:line="240" w:lineRule="auto"/>
              <w:rPr>
                <w:rFonts w:ascii="Times New Roman CYR" w:hAnsi="Times New Roman CYR" w:cs="Times New Roman CYR"/>
                <w:b/>
                <w:bCs/>
                <w:kern w:val="0"/>
                <w:sz w:val="20"/>
                <w:szCs w:val="20"/>
              </w:rPr>
            </w:pPr>
            <w:r>
              <w:rPr>
                <w:rFonts w:ascii="Times New Roman CYR" w:hAnsi="Times New Roman CYR" w:cs="Times New Roman CYR"/>
                <w:b/>
                <w:bCs/>
                <w:kern w:val="0"/>
                <w:sz w:val="20"/>
                <w:szCs w:val="20"/>
              </w:rPr>
              <w:t>Зміст інформації:</w:t>
            </w:r>
          </w:p>
        </w:tc>
      </w:tr>
      <w:tr w:rsidR="00000000" w14:paraId="7F96E5F3" w14:textId="77777777">
        <w:tblPrEx>
          <w:tblCellMar>
            <w:top w:w="0" w:type="dxa"/>
            <w:bottom w:w="0" w:type="dxa"/>
          </w:tblCellMar>
        </w:tblPrEx>
        <w:trPr>
          <w:trHeight w:val="300"/>
        </w:trPr>
        <w:tc>
          <w:tcPr>
            <w:tcW w:w="10462" w:type="dxa"/>
            <w:gridSpan w:val="6"/>
            <w:tcBorders>
              <w:top w:val="single" w:sz="6" w:space="0" w:color="auto"/>
              <w:bottom w:val="single" w:sz="6" w:space="0" w:color="auto"/>
            </w:tcBorders>
            <w:vAlign w:val="center"/>
          </w:tcPr>
          <w:p w14:paraId="34DC3981" w14:textId="77777777" w:rsidR="00000000" w:rsidRDefault="00000000">
            <w:pPr>
              <w:widowControl w:val="0"/>
              <w:autoSpaceDE w:val="0"/>
              <w:autoSpaceDN w:val="0"/>
              <w:adjustRightInd w:val="0"/>
              <w:spacing w:after="0" w:line="240" w:lineRule="auto"/>
              <w:jc w:val="both"/>
              <w:rPr>
                <w:rFonts w:ascii="Times New Roman CYR" w:hAnsi="Times New Roman CYR" w:cs="Times New Roman CYR"/>
                <w:kern w:val="0"/>
                <w:sz w:val="20"/>
                <w:szCs w:val="20"/>
              </w:rPr>
            </w:pPr>
            <w:r>
              <w:rPr>
                <w:rFonts w:ascii="Times New Roman CYR" w:hAnsi="Times New Roman CYR" w:cs="Times New Roman CYR"/>
                <w:kern w:val="0"/>
                <w:sz w:val="20"/>
                <w:szCs w:val="20"/>
              </w:rPr>
              <w:t>Річними дистанційними Загальними зборами акціонерів АКЦІОНЕРНОГО ТОВАРИСТВА "ОПЕРАТОР ГАЗОРОЗПОДІЛЬНОЇ СИСТЕМИ "ЛЬВІВГАЗ" (далi - Товариство), які були проведені 18.12.2023 (протокол вiд 22.12.2023 ) прийнято рішення про виплату дивідендів, а саме: - Прибуток, отриманий Товариством у 2021 році, розподілити таким чином: 50 відсотків суми чистого прибутку відрахувати на виплату дивідендів, що в розрахунку на одну акцію становить 64,20  грн.; 50 відсотків суми чистого прибутку залишити нерозподіленою. Визначити, що виплата дивідендів за результатами діяльності у 2021 році здійснюватиметься через депозитарну систему України у встановленому чинним законодавством України порядку. Відповідно до прийнятих рішень (протокол річних дистанційних загальних зборів акціонерів вiд 22.12.2023р., протокол Наглядової ради Товариства від 22.12.2023 №8/23) Товариство повідомляє про порядок та строки виплати дивідендів за результатами діяльності Товариства у 2021 році: 1. Дата складення переліку осіб, які мають право на отримання дивідендів, 03.01.2024 (на кінець операційного дня). 2. Дата початку строку виплати дивідендів 15.01.2024. 3. Дивіденди виплачуються протягом 6 (шести) місяців з дня прийняття річними загальними зборами Товариства рішення про виплату дивідендів, тобто до 21.06.2024. 4. Виплату дивідендів здійснити через депозитарну систему України в установленому чинним законодавством України порядку. 5. Здійснити виплату всієї суми дивідендів або кількома частками всім особам, які мають право на отримання дивідендів ( пропорційно до розміру їхніх часток), у міру надходження коштів на рахунок Товариства в межах строку виплати дивідендів. 6. Витрати, пов'язані з отриманням дивідендів на банківський рахунок, несуть особи, які мають право на їх отримання. 7. Особисту відповідальність за своєчасність, достовірність та повному наданих банківських реквізитів для виплати дивідендів несуть особи, які мають право на отримання дивідендів.</w:t>
            </w:r>
          </w:p>
        </w:tc>
      </w:tr>
    </w:tbl>
    <w:p w14:paraId="5B00952F" w14:textId="77777777" w:rsidR="005C3F8F" w:rsidRDefault="005C3F8F">
      <w:pPr>
        <w:widowControl w:val="0"/>
        <w:autoSpaceDE w:val="0"/>
        <w:autoSpaceDN w:val="0"/>
        <w:adjustRightInd w:val="0"/>
        <w:spacing w:after="0" w:line="240" w:lineRule="auto"/>
        <w:rPr>
          <w:rFonts w:ascii="Times New Roman CYR" w:hAnsi="Times New Roman CYR" w:cs="Times New Roman CYR"/>
          <w:kern w:val="0"/>
          <w:sz w:val="20"/>
          <w:szCs w:val="20"/>
        </w:rPr>
      </w:pPr>
    </w:p>
    <w:sectPr w:rsidR="005C3F8F">
      <w:pgSz w:w="12240" w:h="15840"/>
      <w:pgMar w:top="850" w:right="850" w:bottom="850" w:left="1400"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22B"/>
    <w:rsid w:val="0006322B"/>
    <w:rsid w:val="005C3F8F"/>
    <w:rsid w:val="00E74397"/>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4C59080"/>
  <w14:defaultImageDpi w14:val="0"/>
  <w15:docId w15:val="{D602DA09-6CD8-481C-8F36-523CB33A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uk-UA" w:eastAsia="uk-UA"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2931</Words>
  <Characters>1672</Characters>
  <Application>Microsoft Office Word</Application>
  <DocSecurity>0</DocSecurity>
  <Lines>13</Lines>
  <Paragraphs>9</Paragraphs>
  <ScaleCrop>false</ScaleCrop>
  <Company/>
  <LinksUpToDate>false</LinksUpToDate>
  <CharactersWithSpaces>4594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Мілешко Анастасія Андріївна</dc:creator>
  <cp:keywords/>
  <dc:description/>
  <cp:lastModifiedBy>Мілешко Анастасія Андріївна</cp:lastModifiedBy>
  <cp:revision>2</cp:revision>
  <dcterms:created xsi:type="dcterms:W3CDTF">2023-12-28T09:26:00Z</dcterms:created>
  <dcterms:modified xsi:type="dcterms:W3CDTF">2023-12-28T09:26:00Z</dcterms:modified>
</cp:coreProperties>
</file>